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555B" w14:textId="1A39B02B" w:rsidR="009611E9" w:rsidRDefault="009611E9" w:rsidP="009611E9">
      <w:pPr>
        <w:pStyle w:val="Bezatstarpm"/>
        <w:rPr>
          <w:noProof/>
        </w:rPr>
      </w:pPr>
      <w:bookmarkStart w:id="0" w:name="_Hlk198796084"/>
      <w:r>
        <w:rPr>
          <w:noProof/>
        </w:rPr>
        <w:drawing>
          <wp:inline distT="0" distB="0" distL="0" distR="0" wp14:anchorId="32282967" wp14:editId="49C92EB5">
            <wp:extent cx="324485" cy="389890"/>
            <wp:effectExtent l="0" t="0" r="0" b="0"/>
            <wp:docPr id="2" name="Picture 2" descr="LOGO_Avg_jaun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Avg_jaunais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C0E03" w14:textId="0DBFD18D" w:rsidR="00302C20" w:rsidRPr="009611E9" w:rsidRDefault="005025D5" w:rsidP="009611E9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774BF0">
        <w:rPr>
          <w:rFonts w:ascii="Times New Roman" w:hAnsi="Times New Roman" w:cs="Times New Roman"/>
          <w:b/>
          <w:sz w:val="28"/>
          <w:szCs w:val="28"/>
        </w:rPr>
        <w:t>Literatūra 12.</w:t>
      </w:r>
      <w:r w:rsidR="00FB6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502">
        <w:rPr>
          <w:rFonts w:ascii="Times New Roman" w:hAnsi="Times New Roman" w:cs="Times New Roman"/>
          <w:b/>
          <w:sz w:val="28"/>
          <w:szCs w:val="28"/>
        </w:rPr>
        <w:t>e</w:t>
      </w:r>
      <w:r w:rsidRPr="00774BF0">
        <w:rPr>
          <w:rFonts w:ascii="Times New Roman" w:hAnsi="Times New Roman" w:cs="Times New Roman"/>
          <w:b/>
          <w:sz w:val="28"/>
          <w:szCs w:val="28"/>
        </w:rPr>
        <w:t xml:space="preserve"> klasei 202</w:t>
      </w:r>
      <w:r w:rsidR="00CF622F">
        <w:rPr>
          <w:rFonts w:ascii="Times New Roman" w:hAnsi="Times New Roman" w:cs="Times New Roman"/>
          <w:b/>
          <w:sz w:val="28"/>
          <w:szCs w:val="28"/>
        </w:rPr>
        <w:t>6</w:t>
      </w:r>
      <w:r w:rsidRPr="00774BF0">
        <w:rPr>
          <w:rFonts w:ascii="Times New Roman" w:hAnsi="Times New Roman" w:cs="Times New Roman"/>
          <w:b/>
          <w:sz w:val="28"/>
          <w:szCs w:val="28"/>
        </w:rPr>
        <w:t>.</w:t>
      </w:r>
      <w:r w:rsidR="004D2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 w:cs="Times New Roman"/>
          <w:b/>
          <w:sz w:val="28"/>
          <w:szCs w:val="28"/>
        </w:rPr>
        <w:t>/</w:t>
      </w:r>
      <w:r w:rsidR="004D2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 w:cs="Times New Roman"/>
          <w:b/>
          <w:sz w:val="28"/>
          <w:szCs w:val="28"/>
        </w:rPr>
        <w:t>202</w:t>
      </w:r>
      <w:r w:rsidR="00CF622F">
        <w:rPr>
          <w:rFonts w:ascii="Times New Roman" w:hAnsi="Times New Roman" w:cs="Times New Roman"/>
          <w:b/>
          <w:sz w:val="28"/>
          <w:szCs w:val="28"/>
        </w:rPr>
        <w:t>7</w:t>
      </w:r>
      <w:r w:rsidRPr="00774BF0">
        <w:rPr>
          <w:rFonts w:ascii="Times New Roman" w:hAnsi="Times New Roman" w:cs="Times New Roman"/>
          <w:b/>
          <w:sz w:val="28"/>
          <w:szCs w:val="28"/>
        </w:rPr>
        <w:t>.m.</w:t>
      </w:r>
      <w:r w:rsidR="00246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 w:cs="Times New Roman"/>
          <w:b/>
          <w:sz w:val="28"/>
          <w:szCs w:val="28"/>
        </w:rPr>
        <w:t>g.</w:t>
      </w:r>
    </w:p>
    <w:bookmarkEnd w:id="0"/>
    <w:p w14:paraId="2ED5140A" w14:textId="77777777" w:rsidR="009611E9" w:rsidRPr="009611E9" w:rsidRDefault="009611E9" w:rsidP="009611E9">
      <w:pPr>
        <w:pStyle w:val="Bezatstarpm"/>
        <w:rPr>
          <w:sz w:val="16"/>
          <w:szCs w:val="16"/>
        </w:rPr>
      </w:pPr>
    </w:p>
    <w:p w14:paraId="57727416" w14:textId="3960782A" w:rsidR="005025D5" w:rsidRPr="004674DD" w:rsidRDefault="005025D5" w:rsidP="00774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DD">
        <w:rPr>
          <w:rFonts w:ascii="Times New Roman" w:hAnsi="Times New Roman" w:cs="Times New Roman"/>
          <w:b/>
          <w:sz w:val="24"/>
          <w:szCs w:val="24"/>
        </w:rPr>
        <w:t>Teksts un indivīds</w:t>
      </w:r>
      <w:r w:rsidR="009611E9">
        <w:rPr>
          <w:rFonts w:ascii="Times New Roman" w:hAnsi="Times New Roman" w:cs="Times New Roman"/>
          <w:b/>
          <w:sz w:val="24"/>
          <w:szCs w:val="24"/>
        </w:rPr>
        <w:t xml:space="preserve"> (1.semestris)</w:t>
      </w:r>
    </w:p>
    <w:p w14:paraId="5CDC5884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  <w:b/>
          <w:sz w:val="24"/>
          <w:szCs w:val="24"/>
        </w:rPr>
        <w:t>Temata apguves mērķis</w:t>
      </w:r>
      <w:r w:rsidRPr="004674DD">
        <w:rPr>
          <w:rFonts w:ascii="Times New Roman" w:hAnsi="Times New Roman" w:cs="Times New Roman"/>
        </w:rPr>
        <w:t xml:space="preserve">: pētīt, kā literārā vai informatīvā tekstā tiek atklātas autora vai raksturojamā tēla/indivīda idejas, vērtības, attieksme, pieredze un kā atspoguļojas personas identitāte. </w:t>
      </w:r>
    </w:p>
    <w:p w14:paraId="0C3CA8B5" w14:textId="77777777" w:rsidR="005025D5" w:rsidRPr="00774BF0" w:rsidRDefault="005025D5" w:rsidP="00774B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F0">
        <w:rPr>
          <w:rFonts w:ascii="Times New Roman" w:hAnsi="Times New Roman" w:cs="Times New Roman"/>
          <w:b/>
          <w:sz w:val="24"/>
          <w:szCs w:val="24"/>
        </w:rPr>
        <w:t>Temata izpētes jautājumi</w:t>
      </w:r>
      <w:r w:rsidR="004D2372">
        <w:rPr>
          <w:rFonts w:ascii="Times New Roman" w:hAnsi="Times New Roman" w:cs="Times New Roman"/>
          <w:b/>
          <w:sz w:val="24"/>
          <w:szCs w:val="24"/>
        </w:rPr>
        <w:t>:</w:t>
      </w:r>
    </w:p>
    <w:p w14:paraId="0E20D8AF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 xml:space="preserve">• Kā tekstos valoda pauž indivīda unikalitāti, viņa valodu un kultūru biogrāfiju, attieksmi pret citu valodu un kultūru pārstāvjiem? </w:t>
      </w:r>
    </w:p>
    <w:p w14:paraId="1D257C81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>• Kā tiek atklātas indivīda un sabiedrības attiecības dažādos laikmetos</w:t>
      </w:r>
      <w:r w:rsidR="004D0079" w:rsidRPr="004674DD">
        <w:rPr>
          <w:rFonts w:ascii="Times New Roman" w:hAnsi="Times New Roman" w:cs="Times New Roman"/>
        </w:rPr>
        <w:t xml:space="preserve"> </w:t>
      </w:r>
      <w:r w:rsidRPr="004674DD">
        <w:rPr>
          <w:rFonts w:ascii="Times New Roman" w:hAnsi="Times New Roman" w:cs="Times New Roman"/>
        </w:rPr>
        <w:t xml:space="preserve">/21. gs.? </w:t>
      </w:r>
    </w:p>
    <w:p w14:paraId="42262CEA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 xml:space="preserve">• Kā tekstos atklājas autora/attēlotā indivīda personība, identitāte, tostarp, dzimumidentitāte, vērtības, nolūks? </w:t>
      </w:r>
    </w:p>
    <w:p w14:paraId="4D95F4DC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>• Kā tekstā iespējams atklāt autora stilu, attieksmi, vērtības?</w:t>
      </w:r>
    </w:p>
    <w:p w14:paraId="0CDF6C53" w14:textId="77777777" w:rsidR="005025D5" w:rsidRPr="00774BF0" w:rsidRDefault="005025D5" w:rsidP="00774B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F0">
        <w:rPr>
          <w:rFonts w:ascii="Times New Roman" w:hAnsi="Times New Roman" w:cs="Times New Roman"/>
          <w:b/>
          <w:sz w:val="24"/>
          <w:szCs w:val="24"/>
        </w:rPr>
        <w:t xml:space="preserve">Ieteicamā literatūra: </w:t>
      </w:r>
    </w:p>
    <w:p w14:paraId="724B5BCE" w14:textId="1027BAC7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Dzeja: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izvēlēties </w:t>
      </w:r>
      <w:r w:rsidR="000F04C1" w:rsidRPr="00A018D6">
        <w:rPr>
          <w:rFonts w:ascii="Times New Roman" w:hAnsi="Times New Roman" w:cs="Times New Roman"/>
          <w:sz w:val="24"/>
          <w:szCs w:val="24"/>
        </w:rPr>
        <w:t>vienu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Latvijas autoru, kura krājums</w:t>
      </w:r>
      <w:r w:rsidR="003352B3" w:rsidRPr="00A018D6">
        <w:rPr>
          <w:rFonts w:ascii="Times New Roman" w:hAnsi="Times New Roman" w:cs="Times New Roman"/>
          <w:sz w:val="24"/>
          <w:szCs w:val="24"/>
        </w:rPr>
        <w:t>/i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publicēts</w:t>
      </w:r>
      <w:r w:rsidR="007948ED" w:rsidRPr="00A018D6">
        <w:rPr>
          <w:rFonts w:ascii="Times New Roman" w:hAnsi="Times New Roman" w:cs="Times New Roman"/>
          <w:sz w:val="24"/>
          <w:szCs w:val="24"/>
        </w:rPr>
        <w:t>/i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laika posmā no 201</w:t>
      </w:r>
      <w:r w:rsidR="00CF622F" w:rsidRPr="00A018D6">
        <w:rPr>
          <w:rFonts w:ascii="Times New Roman" w:hAnsi="Times New Roman" w:cs="Times New Roman"/>
          <w:sz w:val="24"/>
          <w:szCs w:val="24"/>
        </w:rPr>
        <w:t>6</w:t>
      </w:r>
      <w:r w:rsidR="00246502" w:rsidRPr="00A018D6">
        <w:rPr>
          <w:rFonts w:ascii="Times New Roman" w:hAnsi="Times New Roman" w:cs="Times New Roman"/>
          <w:sz w:val="24"/>
          <w:szCs w:val="24"/>
        </w:rPr>
        <w:t>. līdz 202</w:t>
      </w:r>
      <w:r w:rsidR="00CF622F" w:rsidRPr="00A018D6">
        <w:rPr>
          <w:rFonts w:ascii="Times New Roman" w:hAnsi="Times New Roman" w:cs="Times New Roman"/>
          <w:sz w:val="24"/>
          <w:szCs w:val="24"/>
        </w:rPr>
        <w:t>6</w:t>
      </w:r>
      <w:r w:rsidR="00246502" w:rsidRPr="00A018D6">
        <w:rPr>
          <w:rFonts w:ascii="Times New Roman" w:hAnsi="Times New Roman" w:cs="Times New Roman"/>
          <w:sz w:val="24"/>
          <w:szCs w:val="24"/>
        </w:rPr>
        <w:t>. gadam</w:t>
      </w:r>
    </w:p>
    <w:p w14:paraId="500DDBC1" w14:textId="07FAA1A4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Proza: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246502" w:rsidRPr="00A018D6">
        <w:rPr>
          <w:rFonts w:ascii="Times New Roman" w:hAnsi="Times New Roman" w:cs="Times New Roman"/>
          <w:sz w:val="24"/>
          <w:szCs w:val="24"/>
        </w:rPr>
        <w:t>Andr</w:t>
      </w:r>
      <w:r w:rsidR="003352B3" w:rsidRPr="00A018D6">
        <w:rPr>
          <w:rFonts w:ascii="Times New Roman" w:hAnsi="Times New Roman" w:cs="Times New Roman"/>
          <w:sz w:val="24"/>
          <w:szCs w:val="24"/>
        </w:rPr>
        <w:t>is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Kalnozol</w:t>
      </w:r>
      <w:r w:rsidR="003352B3" w:rsidRPr="00A018D6">
        <w:rPr>
          <w:rFonts w:ascii="Times New Roman" w:hAnsi="Times New Roman" w:cs="Times New Roman"/>
          <w:sz w:val="24"/>
          <w:szCs w:val="24"/>
        </w:rPr>
        <w:t>s,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romāns “Kalendārs mani sauc”</w:t>
      </w:r>
      <w:r w:rsidR="003352B3" w:rsidRPr="00A018D6">
        <w:rPr>
          <w:rFonts w:ascii="Times New Roman" w:hAnsi="Times New Roman" w:cs="Times New Roman"/>
          <w:sz w:val="24"/>
          <w:szCs w:val="24"/>
        </w:rPr>
        <w:t xml:space="preserve">(2021) </w:t>
      </w:r>
    </w:p>
    <w:p w14:paraId="3EB466EF" w14:textId="781FA440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Dramaturģija: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CF622F" w:rsidRPr="00A018D6">
        <w:rPr>
          <w:rFonts w:ascii="Times New Roman" w:hAnsi="Times New Roman" w:cs="Times New Roman"/>
          <w:sz w:val="24"/>
          <w:szCs w:val="24"/>
        </w:rPr>
        <w:t>Inga Ābele</w:t>
      </w:r>
      <w:r w:rsidR="003352B3" w:rsidRPr="00A018D6">
        <w:rPr>
          <w:rFonts w:ascii="Times New Roman" w:hAnsi="Times New Roman" w:cs="Times New Roman"/>
          <w:sz w:val="24"/>
          <w:szCs w:val="24"/>
        </w:rPr>
        <w:t>, luga</w:t>
      </w:r>
      <w:r w:rsidR="00246502" w:rsidRPr="00A018D6">
        <w:rPr>
          <w:rFonts w:ascii="Times New Roman" w:hAnsi="Times New Roman" w:cs="Times New Roman"/>
          <w:sz w:val="24"/>
          <w:szCs w:val="24"/>
        </w:rPr>
        <w:t xml:space="preserve"> “</w:t>
      </w:r>
      <w:r w:rsidR="00CF622F" w:rsidRPr="00A018D6">
        <w:rPr>
          <w:rFonts w:ascii="Times New Roman" w:hAnsi="Times New Roman" w:cs="Times New Roman"/>
          <w:sz w:val="24"/>
          <w:szCs w:val="24"/>
        </w:rPr>
        <w:t>Tumšie brieži</w:t>
      </w:r>
      <w:r w:rsidR="00246502" w:rsidRPr="00A018D6">
        <w:rPr>
          <w:rFonts w:ascii="Times New Roman" w:hAnsi="Times New Roman" w:cs="Times New Roman"/>
          <w:sz w:val="24"/>
          <w:szCs w:val="24"/>
        </w:rPr>
        <w:t>”</w:t>
      </w:r>
      <w:r w:rsidR="003352B3" w:rsidRPr="00A018D6">
        <w:rPr>
          <w:rFonts w:ascii="Times New Roman" w:hAnsi="Times New Roman" w:cs="Times New Roman"/>
          <w:sz w:val="24"/>
          <w:szCs w:val="24"/>
        </w:rPr>
        <w:t>(</w:t>
      </w:r>
      <w:r w:rsidR="00CF622F" w:rsidRPr="00A018D6">
        <w:rPr>
          <w:rFonts w:ascii="Times New Roman" w:hAnsi="Times New Roman" w:cs="Times New Roman"/>
          <w:sz w:val="24"/>
          <w:szCs w:val="24"/>
        </w:rPr>
        <w:t>2000</w:t>
      </w:r>
      <w:r w:rsidR="003352B3" w:rsidRPr="00A018D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EC1FC2" w14:textId="2C11352D" w:rsidR="00CF622F" w:rsidRPr="00A018D6" w:rsidRDefault="00246502" w:rsidP="00A018D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Prozas un literatūrzinātnes mijiedarbe</w:t>
      </w:r>
      <w:r w:rsidR="005025D5" w:rsidRPr="00A018D6">
        <w:rPr>
          <w:rFonts w:ascii="Times New Roman" w:hAnsi="Times New Roman" w:cs="Times New Roman"/>
          <w:b/>
          <w:sz w:val="24"/>
          <w:szCs w:val="24"/>
        </w:rPr>
        <w:t>:</w:t>
      </w:r>
      <w:r w:rsidR="005025D5"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Pr="00A018D6">
        <w:rPr>
          <w:rFonts w:ascii="Times New Roman" w:hAnsi="Times New Roman" w:cs="Times New Roman"/>
          <w:sz w:val="24"/>
          <w:szCs w:val="24"/>
        </w:rPr>
        <w:t xml:space="preserve">viens </w:t>
      </w:r>
      <w:r w:rsidR="00FB6879" w:rsidRPr="00A018D6">
        <w:rPr>
          <w:rFonts w:ascii="Times New Roman" w:hAnsi="Times New Roman" w:cs="Times New Roman"/>
          <w:sz w:val="24"/>
          <w:szCs w:val="24"/>
        </w:rPr>
        <w:t xml:space="preserve">biogrāfiskais </w:t>
      </w:r>
      <w:r w:rsidRPr="00A018D6">
        <w:rPr>
          <w:rFonts w:ascii="Times New Roman" w:hAnsi="Times New Roman" w:cs="Times New Roman"/>
          <w:sz w:val="24"/>
          <w:szCs w:val="24"/>
        </w:rPr>
        <w:t>romāns vai monogrāfija par kādu latviešu klasiķi sērijā “</w:t>
      </w:r>
      <w:r w:rsidRPr="00A018D6">
        <w:rPr>
          <w:rFonts w:ascii="Times New Roman" w:hAnsi="Times New Roman" w:cs="Times New Roman"/>
          <w:iCs/>
          <w:sz w:val="24"/>
          <w:szCs w:val="24"/>
        </w:rPr>
        <w:t>Es esmu</w:t>
      </w:r>
      <w:r w:rsidRPr="00A018D6">
        <w:rPr>
          <w:rFonts w:ascii="Times New Roman" w:hAnsi="Times New Roman" w:cs="Times New Roman"/>
          <w:sz w:val="24"/>
          <w:szCs w:val="24"/>
        </w:rPr>
        <w:t xml:space="preserve">”. Ieteicams izvēlēties </w:t>
      </w:r>
      <w:r w:rsidR="003B60AB" w:rsidRPr="00A018D6">
        <w:rPr>
          <w:rFonts w:ascii="Times New Roman" w:hAnsi="Times New Roman" w:cs="Times New Roman"/>
          <w:sz w:val="24"/>
          <w:szCs w:val="24"/>
        </w:rPr>
        <w:t xml:space="preserve">darbu, kurā atklāts autors, par kuru mācību procesā esat uzzinājuši mazāk. </w:t>
      </w:r>
      <w:r w:rsidR="00CF622F" w:rsidRPr="00A018D6">
        <w:rPr>
          <w:rFonts w:ascii="Times New Roman" w:hAnsi="Times New Roman" w:cs="Times New Roman"/>
          <w:sz w:val="24"/>
          <w:szCs w:val="24"/>
        </w:rPr>
        <w:t xml:space="preserve">Informācija par visiem sērijas “Es esmu” darbiem šeit: </w:t>
      </w:r>
      <w:hyperlink r:id="rId6" w:history="1">
        <w:r w:rsidR="00CF622F" w:rsidRPr="00A018D6">
          <w:rPr>
            <w:rStyle w:val="Hipersaite"/>
            <w:rFonts w:ascii="Times New Roman" w:hAnsi="Times New Roman" w:cs="Times New Roman"/>
            <w:sz w:val="24"/>
            <w:szCs w:val="24"/>
          </w:rPr>
          <w:t>https://www.dgramata.lv/dg-izdotas-gramatas/es-esmu/?page=1</w:t>
        </w:r>
      </w:hyperlink>
    </w:p>
    <w:p w14:paraId="3C32AA36" w14:textId="68CF9E3D" w:rsidR="005025D5" w:rsidRPr="00A31C8E" w:rsidRDefault="00A31C8E" w:rsidP="00774BF0">
      <w:pPr>
        <w:jc w:val="both"/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A31C8E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 xml:space="preserve">Vasarā ieteicams izlasīt romānu vai monogrāfiju sērijā “Es esmu”! </w:t>
      </w:r>
    </w:p>
    <w:p w14:paraId="7EB8B507" w14:textId="73DD9D29" w:rsidR="005025D5" w:rsidRPr="009611E9" w:rsidRDefault="005025D5" w:rsidP="00774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E9">
        <w:rPr>
          <w:rFonts w:ascii="Times New Roman" w:hAnsi="Times New Roman" w:cs="Times New Roman"/>
          <w:b/>
          <w:sz w:val="24"/>
          <w:szCs w:val="24"/>
        </w:rPr>
        <w:t>Teksts un vara</w:t>
      </w:r>
      <w:r w:rsidR="009611E9">
        <w:rPr>
          <w:rFonts w:ascii="Times New Roman" w:hAnsi="Times New Roman" w:cs="Times New Roman"/>
          <w:b/>
          <w:sz w:val="24"/>
          <w:szCs w:val="24"/>
        </w:rPr>
        <w:t xml:space="preserve"> (2. semestris) </w:t>
      </w:r>
    </w:p>
    <w:p w14:paraId="0F05BE77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  <w:b/>
          <w:sz w:val="24"/>
          <w:szCs w:val="24"/>
        </w:rPr>
        <w:t>Temata apguves mērķis</w:t>
      </w:r>
      <w:r w:rsidRPr="004674DD">
        <w:rPr>
          <w:rFonts w:ascii="Times New Roman" w:hAnsi="Times New Roman" w:cs="Times New Roman"/>
          <w:b/>
        </w:rPr>
        <w:t>:</w:t>
      </w:r>
      <w:r w:rsidRPr="004674DD">
        <w:rPr>
          <w:rFonts w:ascii="Times New Roman" w:hAnsi="Times New Roman" w:cs="Times New Roman"/>
        </w:rPr>
        <w:t xml:space="preserve"> pētīt daudzveidīgus saturiskus un izteiksmes paņēmienus dažādu laikmetu daiļliteratūras un informatīvajos tekstos, kā atklājas varas un personības, varas un sabiedrības, varas un </w:t>
      </w:r>
      <w:proofErr w:type="spellStart"/>
      <w:r w:rsidRPr="004674DD">
        <w:rPr>
          <w:rFonts w:ascii="Times New Roman" w:hAnsi="Times New Roman" w:cs="Times New Roman"/>
        </w:rPr>
        <w:t>pretvaras</w:t>
      </w:r>
      <w:proofErr w:type="spellEnd"/>
      <w:r w:rsidRPr="004674DD">
        <w:rPr>
          <w:rFonts w:ascii="Times New Roman" w:hAnsi="Times New Roman" w:cs="Times New Roman"/>
        </w:rPr>
        <w:t xml:space="preserve">, varas un ideoloģijas u. tml. pozīcija, lai, apspriežot strīdīgus viedokļus, veidotu un stiprinātu patstāvīga viedokļa veidošanas prasmes, izceļot argumentācijas kvalitātes nozīmi mūsdienu pasaulē. </w:t>
      </w:r>
    </w:p>
    <w:p w14:paraId="6A688484" w14:textId="77777777" w:rsidR="005025D5" w:rsidRPr="00774BF0" w:rsidRDefault="005025D5" w:rsidP="00774BF0">
      <w:pPr>
        <w:jc w:val="both"/>
        <w:rPr>
          <w:rFonts w:ascii="Times New Roman" w:hAnsi="Times New Roman" w:cs="Times New Roman"/>
          <w:sz w:val="24"/>
          <w:szCs w:val="24"/>
        </w:rPr>
      </w:pPr>
      <w:r w:rsidRPr="00774BF0">
        <w:rPr>
          <w:rFonts w:ascii="Times New Roman" w:hAnsi="Times New Roman" w:cs="Times New Roman"/>
          <w:b/>
          <w:sz w:val="24"/>
          <w:szCs w:val="24"/>
        </w:rPr>
        <w:t>Temata izpētes jautājumi</w:t>
      </w:r>
      <w:r w:rsidRPr="00774BF0">
        <w:rPr>
          <w:rFonts w:ascii="Times New Roman" w:hAnsi="Times New Roman" w:cs="Times New Roman"/>
          <w:sz w:val="24"/>
          <w:szCs w:val="24"/>
        </w:rPr>
        <w:t>:</w:t>
      </w:r>
    </w:p>
    <w:p w14:paraId="46B09904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 xml:space="preserve">• Kā dažādu laikmetu un dažādu žanru tekstos tiek atklāta varas pozīcija (noteicējs, padotais, ietekmējošais, pakļautais u. c.)? </w:t>
      </w:r>
    </w:p>
    <w:p w14:paraId="7FEAF8DA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 xml:space="preserve">• Kuri autora izvēlētie valodas līdzekļi ir iedarbīgi varas vai </w:t>
      </w:r>
      <w:proofErr w:type="spellStart"/>
      <w:r w:rsidRPr="004674DD">
        <w:rPr>
          <w:rFonts w:ascii="Times New Roman" w:hAnsi="Times New Roman" w:cs="Times New Roman"/>
        </w:rPr>
        <w:t>pretvaras</w:t>
      </w:r>
      <w:proofErr w:type="spellEnd"/>
      <w:r w:rsidRPr="004674DD">
        <w:rPr>
          <w:rFonts w:ascii="Times New Roman" w:hAnsi="Times New Roman" w:cs="Times New Roman"/>
        </w:rPr>
        <w:t xml:space="preserve"> pozīcijas risinājumā?</w:t>
      </w:r>
    </w:p>
    <w:p w14:paraId="7459D18E" w14:textId="77777777" w:rsidR="005025D5" w:rsidRPr="004674DD" w:rsidRDefault="005025D5" w:rsidP="00774BF0">
      <w:pPr>
        <w:jc w:val="both"/>
        <w:rPr>
          <w:rFonts w:ascii="Times New Roman" w:hAnsi="Times New Roman" w:cs="Times New Roman"/>
        </w:rPr>
      </w:pPr>
      <w:r w:rsidRPr="004674DD">
        <w:rPr>
          <w:rFonts w:ascii="Times New Roman" w:hAnsi="Times New Roman" w:cs="Times New Roman"/>
        </w:rPr>
        <w:t xml:space="preserve">• Kādā veidā un ar kuriem līdzekļiem dažādos tekstos (literāros un publicistiskos) tiek atklātas un risinātas </w:t>
      </w:r>
      <w:proofErr w:type="spellStart"/>
      <w:r w:rsidRPr="004674DD">
        <w:rPr>
          <w:rFonts w:ascii="Times New Roman" w:hAnsi="Times New Roman" w:cs="Times New Roman"/>
        </w:rPr>
        <w:t>tabuētas</w:t>
      </w:r>
      <w:proofErr w:type="spellEnd"/>
      <w:r w:rsidRPr="004674DD">
        <w:rPr>
          <w:rFonts w:ascii="Times New Roman" w:hAnsi="Times New Roman" w:cs="Times New Roman"/>
        </w:rPr>
        <w:t xml:space="preserve"> tēmas? </w:t>
      </w:r>
    </w:p>
    <w:p w14:paraId="26A7735F" w14:textId="77777777" w:rsidR="005025D5" w:rsidRPr="00774BF0" w:rsidRDefault="005025D5" w:rsidP="00774B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F0">
        <w:rPr>
          <w:rFonts w:ascii="Times New Roman" w:hAnsi="Times New Roman" w:cs="Times New Roman"/>
          <w:b/>
          <w:sz w:val="24"/>
          <w:szCs w:val="24"/>
        </w:rPr>
        <w:t>Ieteicamā literatūra:</w:t>
      </w:r>
    </w:p>
    <w:p w14:paraId="0101D2CA" w14:textId="787C441F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Dzeja: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K</w:t>
      </w:r>
      <w:r w:rsidR="003352B3" w:rsidRPr="00A018D6">
        <w:rPr>
          <w:rFonts w:ascii="Times New Roman" w:hAnsi="Times New Roman" w:cs="Times New Roman"/>
          <w:sz w:val="24"/>
          <w:szCs w:val="24"/>
        </w:rPr>
        <w:t>ār</w:t>
      </w:r>
      <w:r w:rsidR="007E18F8" w:rsidRPr="00A018D6">
        <w:rPr>
          <w:rFonts w:ascii="Times New Roman" w:hAnsi="Times New Roman" w:cs="Times New Roman"/>
          <w:sz w:val="24"/>
          <w:szCs w:val="24"/>
        </w:rPr>
        <w:t>l</w:t>
      </w:r>
      <w:r w:rsidR="00D10B16" w:rsidRPr="00A018D6">
        <w:rPr>
          <w:rFonts w:ascii="Times New Roman" w:hAnsi="Times New Roman" w:cs="Times New Roman"/>
          <w:sz w:val="24"/>
          <w:szCs w:val="24"/>
        </w:rPr>
        <w:t>is</w:t>
      </w:r>
      <w:r w:rsidRPr="00A018D6">
        <w:rPr>
          <w:rFonts w:ascii="Times New Roman" w:hAnsi="Times New Roman" w:cs="Times New Roman"/>
          <w:sz w:val="24"/>
          <w:szCs w:val="24"/>
        </w:rPr>
        <w:t xml:space="preserve"> Vērdiņš, dzejoļu krājums “</w:t>
      </w:r>
      <w:r w:rsidR="00770E92" w:rsidRPr="00A018D6">
        <w:rPr>
          <w:rFonts w:ascii="Times New Roman" w:hAnsi="Times New Roman" w:cs="Times New Roman"/>
          <w:sz w:val="24"/>
          <w:szCs w:val="24"/>
        </w:rPr>
        <w:t>Mēs. Kopota dzeja</w:t>
      </w:r>
      <w:r w:rsidRPr="00A018D6">
        <w:rPr>
          <w:rFonts w:ascii="Times New Roman" w:hAnsi="Times New Roman" w:cs="Times New Roman"/>
          <w:sz w:val="24"/>
          <w:szCs w:val="24"/>
        </w:rPr>
        <w:t>” (20</w:t>
      </w:r>
      <w:r w:rsidR="00770E92" w:rsidRPr="00A018D6">
        <w:rPr>
          <w:rFonts w:ascii="Times New Roman" w:hAnsi="Times New Roman" w:cs="Times New Roman"/>
          <w:sz w:val="24"/>
          <w:szCs w:val="24"/>
        </w:rPr>
        <w:t>12</w:t>
      </w:r>
      <w:r w:rsidRPr="00A018D6">
        <w:rPr>
          <w:rFonts w:ascii="Times New Roman" w:hAnsi="Times New Roman" w:cs="Times New Roman"/>
          <w:sz w:val="24"/>
          <w:szCs w:val="24"/>
        </w:rPr>
        <w:t>)</w:t>
      </w:r>
    </w:p>
    <w:p w14:paraId="3E00499A" w14:textId="646F6134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Proza: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A72114" w:rsidRPr="00A018D6">
        <w:rPr>
          <w:rFonts w:ascii="Times New Roman" w:hAnsi="Times New Roman" w:cs="Times New Roman"/>
          <w:sz w:val="24"/>
          <w:szCs w:val="24"/>
        </w:rPr>
        <w:t>Albērs Kamī, romāns “Mēris”</w:t>
      </w:r>
      <w:r w:rsidR="004674DD" w:rsidRPr="00A018D6">
        <w:rPr>
          <w:rFonts w:ascii="Times New Roman" w:hAnsi="Times New Roman" w:cs="Times New Roman"/>
          <w:sz w:val="24"/>
          <w:szCs w:val="24"/>
        </w:rPr>
        <w:t>(1947)</w:t>
      </w:r>
      <w:r w:rsidR="00A72114" w:rsidRPr="00A01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74DD" w:rsidRPr="00A018D6">
        <w:rPr>
          <w:rFonts w:ascii="Times New Roman" w:hAnsi="Times New Roman" w:cs="Times New Roman"/>
          <w:sz w:val="24"/>
          <w:szCs w:val="24"/>
        </w:rPr>
        <w:t>Gunars</w:t>
      </w:r>
      <w:proofErr w:type="spellEnd"/>
      <w:r w:rsidR="004674DD" w:rsidRPr="00A01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4DD" w:rsidRPr="00A018D6">
        <w:rPr>
          <w:rFonts w:ascii="Times New Roman" w:hAnsi="Times New Roman" w:cs="Times New Roman"/>
          <w:sz w:val="24"/>
          <w:szCs w:val="24"/>
        </w:rPr>
        <w:t>Janovskis</w:t>
      </w:r>
      <w:proofErr w:type="spellEnd"/>
      <w:r w:rsidR="004674DD" w:rsidRPr="00A018D6">
        <w:rPr>
          <w:rFonts w:ascii="Times New Roman" w:hAnsi="Times New Roman" w:cs="Times New Roman"/>
          <w:sz w:val="24"/>
          <w:szCs w:val="24"/>
        </w:rPr>
        <w:t>, romāns “</w:t>
      </w:r>
      <w:proofErr w:type="spellStart"/>
      <w:r w:rsidR="004674DD" w:rsidRPr="00A018D6">
        <w:rPr>
          <w:rFonts w:ascii="Times New Roman" w:hAnsi="Times New Roman" w:cs="Times New Roman"/>
          <w:sz w:val="24"/>
          <w:szCs w:val="24"/>
        </w:rPr>
        <w:t>Sōla</w:t>
      </w:r>
      <w:proofErr w:type="spellEnd"/>
      <w:r w:rsidR="004674DD" w:rsidRPr="00A018D6">
        <w:rPr>
          <w:rFonts w:ascii="Times New Roman" w:hAnsi="Times New Roman" w:cs="Times New Roman"/>
          <w:sz w:val="24"/>
          <w:szCs w:val="24"/>
        </w:rPr>
        <w:t xml:space="preserve">” (1963), </w:t>
      </w:r>
      <w:r w:rsidR="00353D96" w:rsidRPr="00A018D6">
        <w:rPr>
          <w:rFonts w:ascii="Times New Roman" w:hAnsi="Times New Roman" w:cs="Times New Roman"/>
          <w:sz w:val="24"/>
          <w:szCs w:val="24"/>
        </w:rPr>
        <w:t>A</w:t>
      </w:r>
      <w:r w:rsidR="003352B3" w:rsidRPr="00A018D6">
        <w:rPr>
          <w:rFonts w:ascii="Times New Roman" w:hAnsi="Times New Roman" w:cs="Times New Roman"/>
          <w:sz w:val="24"/>
          <w:szCs w:val="24"/>
        </w:rPr>
        <w:t>lberta</w:t>
      </w:r>
      <w:r w:rsidR="00353D96"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770E92" w:rsidRPr="00A018D6">
        <w:rPr>
          <w:rFonts w:ascii="Times New Roman" w:hAnsi="Times New Roman" w:cs="Times New Roman"/>
          <w:sz w:val="24"/>
          <w:szCs w:val="24"/>
        </w:rPr>
        <w:t>Bels, romāns “Bezmiegs” (1967)</w:t>
      </w:r>
    </w:p>
    <w:p w14:paraId="2C1477F5" w14:textId="44D60E57" w:rsidR="005025D5" w:rsidRPr="00A018D6" w:rsidRDefault="005025D5" w:rsidP="00A018D6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Dramaturģija: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770E92" w:rsidRPr="00A018D6">
        <w:rPr>
          <w:rFonts w:ascii="Times New Roman" w:hAnsi="Times New Roman" w:cs="Times New Roman"/>
          <w:sz w:val="24"/>
          <w:szCs w:val="24"/>
        </w:rPr>
        <w:t>M</w:t>
      </w:r>
      <w:r w:rsidR="007E18F8" w:rsidRPr="00A018D6">
        <w:rPr>
          <w:rFonts w:ascii="Times New Roman" w:hAnsi="Times New Roman" w:cs="Times New Roman"/>
          <w:sz w:val="24"/>
          <w:szCs w:val="24"/>
        </w:rPr>
        <w:t xml:space="preserve">ārtiņš </w:t>
      </w:r>
      <w:r w:rsidR="00770E92" w:rsidRPr="00A018D6">
        <w:rPr>
          <w:rFonts w:ascii="Times New Roman" w:hAnsi="Times New Roman" w:cs="Times New Roman"/>
          <w:sz w:val="24"/>
          <w:szCs w:val="24"/>
        </w:rPr>
        <w:t>Zīverts, luga “Vara” (1944)</w:t>
      </w:r>
      <w:r w:rsidR="00B733FB" w:rsidRPr="00A01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EC983" w14:textId="2C157843" w:rsidR="009611E9" w:rsidRPr="00A018D6" w:rsidRDefault="005025D5" w:rsidP="00A018D6">
      <w:pPr>
        <w:pStyle w:val="Bezatstarpm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18D6">
        <w:rPr>
          <w:rFonts w:ascii="Times New Roman" w:hAnsi="Times New Roman" w:cs="Times New Roman"/>
          <w:b/>
          <w:sz w:val="24"/>
          <w:szCs w:val="24"/>
        </w:rPr>
        <w:t>Dokumentālā literatūra</w:t>
      </w:r>
      <w:r w:rsidR="004244D6" w:rsidRPr="00A01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8D6">
        <w:rPr>
          <w:rFonts w:ascii="Times New Roman" w:hAnsi="Times New Roman" w:cs="Times New Roman"/>
          <w:b/>
          <w:sz w:val="24"/>
          <w:szCs w:val="24"/>
        </w:rPr>
        <w:t>/ publicistika:</w:t>
      </w:r>
      <w:r w:rsidRPr="00A018D6">
        <w:rPr>
          <w:rFonts w:ascii="Times New Roman" w:hAnsi="Times New Roman" w:cs="Times New Roman"/>
          <w:sz w:val="24"/>
          <w:szCs w:val="24"/>
        </w:rPr>
        <w:t xml:space="preserve"> </w:t>
      </w:r>
      <w:r w:rsidR="003352B3" w:rsidRPr="00A018D6">
        <w:rPr>
          <w:rFonts w:ascii="Times New Roman" w:hAnsi="Times New Roman" w:cs="Times New Roman"/>
          <w:i/>
          <w:sz w:val="24"/>
          <w:szCs w:val="24"/>
        </w:rPr>
        <w:t xml:space="preserve">Starp patiesību un varu: rakstnieku dažādās lomas Eiropas vēsturē. </w:t>
      </w:r>
      <w:r w:rsidR="003352B3" w:rsidRPr="00A018D6">
        <w:rPr>
          <w:rFonts w:ascii="Times New Roman" w:hAnsi="Times New Roman" w:cs="Times New Roman"/>
          <w:iCs/>
          <w:sz w:val="24"/>
          <w:szCs w:val="24"/>
        </w:rPr>
        <w:t>Rakstu un eseju krājums.</w:t>
      </w:r>
      <w:r w:rsidR="003352B3" w:rsidRPr="00A018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2B3" w:rsidRPr="00A018D6">
        <w:rPr>
          <w:rFonts w:ascii="Times New Roman" w:hAnsi="Times New Roman" w:cs="Times New Roman"/>
          <w:iCs/>
          <w:sz w:val="24"/>
          <w:szCs w:val="24"/>
        </w:rPr>
        <w:t xml:space="preserve">(2016) </w:t>
      </w:r>
    </w:p>
    <w:p w14:paraId="4837B75B" w14:textId="77777777" w:rsidR="00A018D6" w:rsidRDefault="00A018D6" w:rsidP="009611E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F780C" w14:textId="7193A542" w:rsidR="00016F81" w:rsidRPr="009611E9" w:rsidRDefault="00FE0FF0" w:rsidP="00A018D6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Skolotāja Agnese Puķe </w:t>
      </w:r>
    </w:p>
    <w:sectPr w:rsidR="00016F81" w:rsidRPr="009611E9" w:rsidSect="00502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65E7"/>
    <w:multiLevelType w:val="hybridMultilevel"/>
    <w:tmpl w:val="19542CFE"/>
    <w:lvl w:ilvl="0" w:tplc="54360F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5247A"/>
    <w:multiLevelType w:val="hybridMultilevel"/>
    <w:tmpl w:val="19542CFE"/>
    <w:lvl w:ilvl="0" w:tplc="54360F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B7D18"/>
    <w:multiLevelType w:val="hybridMultilevel"/>
    <w:tmpl w:val="19542CFE"/>
    <w:lvl w:ilvl="0" w:tplc="54360F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8862">
    <w:abstractNumId w:val="2"/>
  </w:num>
  <w:num w:numId="2" w16cid:durableId="888153765">
    <w:abstractNumId w:val="1"/>
  </w:num>
  <w:num w:numId="3" w16cid:durableId="97722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D5"/>
    <w:rsid w:val="00016F81"/>
    <w:rsid w:val="0003536C"/>
    <w:rsid w:val="000F04C1"/>
    <w:rsid w:val="001A33EE"/>
    <w:rsid w:val="001F45DE"/>
    <w:rsid w:val="00246502"/>
    <w:rsid w:val="002931C0"/>
    <w:rsid w:val="002F01DB"/>
    <w:rsid w:val="00302C20"/>
    <w:rsid w:val="003352B3"/>
    <w:rsid w:val="00353D96"/>
    <w:rsid w:val="00381530"/>
    <w:rsid w:val="003B60AB"/>
    <w:rsid w:val="00403BB1"/>
    <w:rsid w:val="004244D6"/>
    <w:rsid w:val="004413B6"/>
    <w:rsid w:val="004674DD"/>
    <w:rsid w:val="00481775"/>
    <w:rsid w:val="004D0079"/>
    <w:rsid w:val="004D2372"/>
    <w:rsid w:val="005025D5"/>
    <w:rsid w:val="005201B7"/>
    <w:rsid w:val="005F6B7F"/>
    <w:rsid w:val="00634354"/>
    <w:rsid w:val="00770E92"/>
    <w:rsid w:val="00774BF0"/>
    <w:rsid w:val="00785C1B"/>
    <w:rsid w:val="007948ED"/>
    <w:rsid w:val="007E18F8"/>
    <w:rsid w:val="008A440C"/>
    <w:rsid w:val="009611E9"/>
    <w:rsid w:val="009760B7"/>
    <w:rsid w:val="009C48CD"/>
    <w:rsid w:val="00A018D6"/>
    <w:rsid w:val="00A11A31"/>
    <w:rsid w:val="00A31C8E"/>
    <w:rsid w:val="00A72114"/>
    <w:rsid w:val="00AE1600"/>
    <w:rsid w:val="00B733FB"/>
    <w:rsid w:val="00C63A9C"/>
    <w:rsid w:val="00CC7C17"/>
    <w:rsid w:val="00CF622F"/>
    <w:rsid w:val="00D10B16"/>
    <w:rsid w:val="00D75386"/>
    <w:rsid w:val="00DE03A7"/>
    <w:rsid w:val="00FB6879"/>
    <w:rsid w:val="00FC4527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ADF48"/>
  <w15:chartTrackingRefBased/>
  <w15:docId w15:val="{A0A5CDA5-6F2C-4527-A5C5-32D45C5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6F8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E0FF0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16F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CF62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F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gramata.lv/dg-izdotas-gramatas/es-esmu/?page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Puķe</dc:creator>
  <cp:keywords/>
  <dc:description/>
  <cp:lastModifiedBy>Dagnija Ivanovska</cp:lastModifiedBy>
  <cp:revision>2</cp:revision>
  <dcterms:created xsi:type="dcterms:W3CDTF">2026-06-12T09:58:00Z</dcterms:created>
  <dcterms:modified xsi:type="dcterms:W3CDTF">2026-06-12T09:58:00Z</dcterms:modified>
</cp:coreProperties>
</file>